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14" w:rsidRDefault="007D3698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Special-Tauchsafari Brothers Islands</w:t>
      </w:r>
    </w:p>
    <w:p w:rsidR="00591A14" w:rsidRDefault="00591A14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Geplanter Reiseablauf (als Beispiel, welches abgeändert werden kann je nach Kundenwunsch)</w:t>
      </w:r>
    </w:p>
    <w:p w:rsidR="00591A14" w:rsidRDefault="00591A14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1. Tag – Anreisetag: Transfer vom Flughafen zum Schiff</w:t>
      </w:r>
      <w:r>
        <w:rPr>
          <w:rFonts w:ascii="Arial" w:eastAsia="Verdana" w:hAnsi="Arial" w:cs="Verdana"/>
          <w:sz w:val="22"/>
          <w:szCs w:val="22"/>
        </w:rPr>
        <w:t xml:space="preserve"> nach Hurghada/Je nach Marina, Check in ab 16 Uhr.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Bezug der Kabinen, Abendessen</w:t>
      </w:r>
    </w:p>
    <w:p w:rsidR="00591A14" w:rsidRDefault="00591A14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2.Tag: Auslaufen nach Genehmigung durch die Hafenpolizei gegen 9 Uhr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Checktauchgang und weitere 1 - 2 Tauchgänge an verschiedenen Tauchplätzen,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Überfahrt zu den Brothers währ</w:t>
      </w:r>
      <w:r>
        <w:rPr>
          <w:rFonts w:ascii="Arial" w:eastAsia="Verdana" w:hAnsi="Arial" w:cs="Verdana"/>
          <w:sz w:val="22"/>
          <w:szCs w:val="22"/>
        </w:rPr>
        <w:t>end der Nacht.</w:t>
      </w:r>
    </w:p>
    <w:p w:rsidR="00591A14" w:rsidRDefault="00591A14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3.Tag: 3 Tauchgänge am Big Brother</w:t>
      </w:r>
    </w:p>
    <w:p w:rsidR="00591A14" w:rsidRDefault="00591A14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4. Tag: 3 Tauchgänge am Little Brother.</w:t>
      </w:r>
    </w:p>
    <w:p w:rsidR="00591A14" w:rsidRDefault="00591A14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5 - 6. Tag: Little Brother.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 xml:space="preserve"> (Reiseroute kann je nach Kundenwünschen individuell abgeändert werden)</w:t>
      </w:r>
    </w:p>
    <w:p w:rsidR="00591A14" w:rsidRDefault="00591A14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7. Tag: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Rückkehr im Hafen und Transfer zum Flughafen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(je nach</w:t>
      </w:r>
      <w:r>
        <w:rPr>
          <w:rFonts w:ascii="Arial" w:eastAsia="Verdana" w:hAnsi="Arial" w:cs="Verdana"/>
          <w:sz w:val="22"/>
          <w:szCs w:val="22"/>
        </w:rPr>
        <w:t xml:space="preserve"> Abflugszeit besteht die Möglichkeit einen Ausflug zu unternehmen)</w:t>
      </w:r>
    </w:p>
    <w:p w:rsidR="00591A14" w:rsidRDefault="00591A14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Hinweis: Der genaue Ablauf ist abhängig von Wetter-, Wind- und den Strömungsverhältnissen und vorbehaltlich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 xml:space="preserve">Änderung. Die letzte Entscheidung über den </w:t>
      </w:r>
      <w:r w:rsidR="00677CFE">
        <w:rPr>
          <w:rFonts w:ascii="Arial" w:eastAsia="Verdana" w:hAnsi="Arial" w:cs="Verdana"/>
          <w:sz w:val="22"/>
          <w:szCs w:val="22"/>
        </w:rPr>
        <w:t>Tour verlauf</w:t>
      </w:r>
      <w:r>
        <w:rPr>
          <w:rFonts w:ascii="Arial" w:eastAsia="Verdana" w:hAnsi="Arial" w:cs="Verdana"/>
          <w:sz w:val="22"/>
          <w:szCs w:val="22"/>
        </w:rPr>
        <w:t xml:space="preserve"> obliegt immer </w:t>
      </w:r>
      <w:r>
        <w:rPr>
          <w:rFonts w:ascii="Arial" w:eastAsia="Verdana" w:hAnsi="Arial" w:cs="Verdana"/>
          <w:sz w:val="22"/>
          <w:szCs w:val="22"/>
        </w:rPr>
        <w:t>dem Kapitän.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Tauchplätze</w:t>
      </w:r>
    </w:p>
    <w:p w:rsidR="00677CFE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Brother Islands: Die beiden Felsnadeln ragen ca. 70 km vom ägyptischen Festland entfernt aus der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Wasseroberfläche und gehören aufgrund ihrer exponierten Lage zum Besten was das Rote Meer zu bieten hat.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 xml:space="preserve">Hier ist taucherische </w:t>
      </w:r>
      <w:r>
        <w:rPr>
          <w:rFonts w:ascii="Arial" w:eastAsia="Verdana" w:hAnsi="Arial" w:cs="Verdana"/>
          <w:sz w:val="22"/>
          <w:szCs w:val="22"/>
        </w:rPr>
        <w:t>Sicherheit gefragt, denn die Strömungsverhältnisse variieren stark und können dem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Taucher auch einiges abverlangen.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Der Big Brother ist leicht an seinem Leuchtturm zu erkennen. Die Riffkante geht unvermittelt in eine Steilwand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über, die auf mehr als 500 Me</w:t>
      </w:r>
      <w:r>
        <w:rPr>
          <w:rFonts w:ascii="Arial" w:eastAsia="Verdana" w:hAnsi="Arial" w:cs="Verdana"/>
          <w:sz w:val="22"/>
          <w:szCs w:val="22"/>
        </w:rPr>
        <w:t>ter abfällt. An der Nordwestspitze befindet sich auf 7 bis 85 Meter das am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prachtvollsten mit Weichkorallen bewachsene Wrack des Roten Meeres: die Numidia. Das englische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 xml:space="preserve">Handelsschiff sank 1901 und stellt unser erstes, berühmtes Wrack auf dieser Tour dar. </w:t>
      </w:r>
      <w:r>
        <w:rPr>
          <w:rFonts w:ascii="Arial" w:eastAsia="Verdana" w:hAnsi="Arial" w:cs="Verdana"/>
          <w:sz w:val="22"/>
          <w:szCs w:val="22"/>
        </w:rPr>
        <w:t>Hier sind regelmäßig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Hammerhaie und andere große Jäger des Meeres zu beobachten. An der Nordwestseite liegt das zweite Wrack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von Big Brother: die Aida. Der ehemalige Truppentransporter sank während eines Sturms im Jahre 1957 und ist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in zwei Teile gebrochen</w:t>
      </w:r>
      <w:r>
        <w:rPr>
          <w:rFonts w:ascii="Arial" w:eastAsia="Verdana" w:hAnsi="Arial" w:cs="Verdana"/>
          <w:sz w:val="22"/>
          <w:szCs w:val="22"/>
        </w:rPr>
        <w:t>. Der größte Teil des Schiffes liegt auf 30 bis 60 Meter und ist teilweise sehr gut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erhalten, aber nur spärlich mit Weichkorallen bewachsen.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Der Small Brother, rund 800 Meter von seinem großen Bruder entfernt, ist bekannt für seinen üppigen Bewuchs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an Weic</w:t>
      </w:r>
      <w:r>
        <w:rPr>
          <w:rFonts w:ascii="Arial" w:eastAsia="Verdana" w:hAnsi="Arial" w:cs="Verdana"/>
          <w:sz w:val="22"/>
          <w:szCs w:val="22"/>
        </w:rPr>
        <w:t>hkorallen, den großen Gorgonienfeldern, riesigen Fischschwärmen und den sehr guten Chancen auf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Haibegegnungen (Graue-, Hammer-, Seiden-, Fuchs- und Weißspitzenhochseehaie). Auf Grund der häufig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auftretenden Strömung aus nördlicher Richtung sind entlang der</w:t>
      </w:r>
      <w:r>
        <w:rPr>
          <w:rFonts w:ascii="Arial" w:eastAsia="Verdana" w:hAnsi="Arial" w:cs="Verdana"/>
          <w:sz w:val="22"/>
          <w:szCs w:val="22"/>
        </w:rPr>
        <w:t xml:space="preserve"> Ost- und Westseite des Riffs </w:t>
      </w:r>
      <w:r>
        <w:rPr>
          <w:rFonts w:ascii="Arial" w:eastAsia="Verdana" w:hAnsi="Arial" w:cs="Verdana"/>
          <w:sz w:val="22"/>
          <w:szCs w:val="22"/>
        </w:rPr>
        <w:lastRenderedPageBreak/>
        <w:t>hervorragende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Drifttauchgänge möglich. An der Südspitze werden gelegentlich Mantas gesichtet.</w:t>
      </w:r>
    </w:p>
    <w:p w:rsidR="00591A14" w:rsidRDefault="00591A14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591A14">
      <w:pPr>
        <w:autoSpaceDE w:val="0"/>
        <w:rPr>
          <w:rFonts w:ascii="Arial" w:eastAsia="Wingdings" w:hAnsi="Arial" w:cs="Wingdings"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Enthaltene Leistungen:</w:t>
      </w:r>
    </w:p>
    <w:p w:rsidR="00591A14" w:rsidRPr="00677CFE" w:rsidRDefault="00677CFE" w:rsidP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 w:rsidRPr="00677CFE">
        <w:rPr>
          <w:rFonts w:ascii="Arial" w:eastAsia="Verdana" w:hAnsi="Arial" w:cs="Verdana"/>
          <w:sz w:val="22"/>
          <w:szCs w:val="22"/>
        </w:rPr>
        <w:t>7 Nächten/ 7 Tage an Bord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Unterkunft in Doppelkabine mit DU/WC/Klima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 xml:space="preserve">Vollpension, 3 x Buffets am Tag, </w:t>
      </w:r>
      <w:r w:rsidR="007D3698">
        <w:rPr>
          <w:rFonts w:ascii="Arial" w:eastAsia="Verdana" w:hAnsi="Arial" w:cs="Verdana"/>
          <w:sz w:val="22"/>
          <w:szCs w:val="22"/>
        </w:rPr>
        <w:t>Kuchen, Snacks , frische Früchte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Tee/Kaffee/Wasser/ Softdrinks (Cola, Fanta, Sprite, Fruchtsäfte)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6 Tage tauchen mit 2-4 Tauchgängen pro Tag (letzter, 6. Tag mit 2 TG)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12l Alu-Flaschen, Blei, deutschsprachiger Tauchguide, Nitrox for free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Transfer Airport-S</w:t>
      </w:r>
      <w:r w:rsidR="007D3698">
        <w:rPr>
          <w:rFonts w:ascii="Arial" w:eastAsia="Verdana" w:hAnsi="Arial" w:cs="Verdana"/>
          <w:sz w:val="22"/>
          <w:szCs w:val="22"/>
        </w:rPr>
        <w:t>chiff-Airport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Hafengebühren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Freigepäck 20 kg</w:t>
      </w:r>
    </w:p>
    <w:p w:rsidR="00677CFE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Marineparkgebühren</w:t>
      </w:r>
    </w:p>
    <w:p w:rsidR="00677CFE" w:rsidRDefault="00677CFE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Zusätzliche Kosten:</w:t>
      </w:r>
    </w:p>
    <w:p w:rsidR="00677CFE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Reiserücktrittskosten-Versicherung auf Wunsch bei uns abschließbar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Einzelkabinenzuschlag: € 200,00 für die gesamte Dauer</w:t>
      </w: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 xml:space="preserve">Flug nach Hurghada </w:t>
      </w:r>
      <w:r w:rsidR="007D3698">
        <w:rPr>
          <w:rFonts w:ascii="Arial" w:eastAsia="Verdana" w:hAnsi="Arial" w:cs="Verdana"/>
          <w:sz w:val="22"/>
          <w:szCs w:val="22"/>
        </w:rPr>
        <w:t>ab/bis Deutschland mit deutscher renno</w:t>
      </w:r>
      <w:r>
        <w:rPr>
          <w:rFonts w:ascii="Arial" w:eastAsia="Verdana" w:hAnsi="Arial" w:cs="Verdana"/>
          <w:sz w:val="22"/>
          <w:szCs w:val="22"/>
        </w:rPr>
        <w:t>mierter Fluggesellschaft ca. € 29</w:t>
      </w:r>
      <w:r w:rsidR="007D3698">
        <w:rPr>
          <w:rFonts w:ascii="Arial" w:eastAsia="Verdana" w:hAnsi="Arial" w:cs="Verdana"/>
          <w:sz w:val="22"/>
          <w:szCs w:val="22"/>
        </w:rPr>
        <w:t>0,00</w:t>
      </w:r>
    </w:p>
    <w:p w:rsidR="00677CFE" w:rsidRDefault="00677CFE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Vor Ort zu zahlen:</w:t>
      </w:r>
    </w:p>
    <w:p w:rsidR="00677CFE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677CFE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Pr="00677CFE">
        <w:rPr>
          <w:rFonts w:ascii="Arial" w:eastAsia="Verdana" w:hAnsi="Arial" w:cs="Verdana"/>
          <w:sz w:val="22"/>
          <w:szCs w:val="22"/>
        </w:rPr>
        <w:t>Visum zur Einreise nach Ägypten</w:t>
      </w:r>
      <w:r>
        <w:rPr>
          <w:rFonts w:ascii="Arial" w:eastAsia="Verdana" w:hAnsi="Arial" w:cs="Verdana"/>
          <w:sz w:val="22"/>
          <w:szCs w:val="22"/>
        </w:rPr>
        <w:t xml:space="preserve"> € 20,00 pro Person.</w:t>
      </w:r>
    </w:p>
    <w:p w:rsidR="00677CFE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677CFE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-</w:t>
      </w:r>
      <w:r w:rsidR="007D3698">
        <w:rPr>
          <w:rFonts w:ascii="Arial" w:eastAsia="Verdana" w:hAnsi="Arial" w:cs="Verdana"/>
          <w:sz w:val="22"/>
          <w:szCs w:val="22"/>
        </w:rPr>
        <w:t>Persönliche Ausgaben wie Alkohol an Bord, Leihausrüstung, Trinkgeld, etc.</w:t>
      </w:r>
    </w:p>
    <w:p w:rsidR="00677CFE" w:rsidRDefault="00677CFE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</w:p>
    <w:p w:rsidR="00677CFE" w:rsidRDefault="00677CFE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Teilnahmevoraussetzungen: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 xml:space="preserve">Für die Teilnahme ist eine Taucherfahrung sind mindestens 50 </w:t>
      </w:r>
      <w:r>
        <w:rPr>
          <w:rFonts w:ascii="Arial" w:eastAsia="Verdana" w:hAnsi="Arial" w:cs="Verdana"/>
          <w:sz w:val="22"/>
          <w:szCs w:val="22"/>
        </w:rPr>
        <w:t>TG und ein AOWD oder 100 TG</w:t>
      </w:r>
    </w:p>
    <w:p w:rsidR="00591A14" w:rsidRDefault="007D3698">
      <w:pPr>
        <w:autoSpaceDE w:val="0"/>
        <w:rPr>
          <w:rFonts w:ascii="Arial" w:eastAsia="Verdana" w:hAnsi="Arial" w:cs="Verdana"/>
          <w:sz w:val="22"/>
          <w:szCs w:val="22"/>
        </w:rPr>
      </w:pPr>
      <w:r>
        <w:rPr>
          <w:rFonts w:ascii="Arial" w:eastAsia="Verdana" w:hAnsi="Arial" w:cs="Verdana"/>
          <w:sz w:val="22"/>
          <w:szCs w:val="22"/>
        </w:rPr>
        <w:t>erforderlich. Tauchärztliches Zeugnis nicht älter als 1 Jahr.</w:t>
      </w:r>
    </w:p>
    <w:p w:rsidR="00677CFE" w:rsidRDefault="00677CFE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</w:p>
    <w:p w:rsidR="00591A14" w:rsidRDefault="00677CFE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Mindestteilnehmerzahl: 20</w:t>
      </w:r>
    </w:p>
    <w:p w:rsidR="00591A14" w:rsidRDefault="00591A14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</w:p>
    <w:p w:rsidR="00591A14" w:rsidRDefault="007D3698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Preise:</w:t>
      </w:r>
    </w:p>
    <w:p w:rsidR="00591A14" w:rsidRDefault="00677CFE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1 Woche ab 06. Februar 2014 bis 13. Februar 2014</w:t>
      </w:r>
      <w:r w:rsidR="007D3698">
        <w:rPr>
          <w:rFonts w:ascii="Arial" w:eastAsia="Verdana" w:hAnsi="Arial" w:cs="Verdana"/>
          <w:b/>
          <w:bCs/>
          <w:sz w:val="22"/>
          <w:szCs w:val="22"/>
        </w:rPr>
        <w:t xml:space="preserve"> pro Person € </w:t>
      </w:r>
      <w:r>
        <w:rPr>
          <w:rFonts w:ascii="Arial" w:eastAsia="Verdana" w:hAnsi="Arial" w:cs="Verdana"/>
          <w:b/>
          <w:bCs/>
          <w:sz w:val="22"/>
          <w:szCs w:val="22"/>
        </w:rPr>
        <w:t>599,00</w:t>
      </w:r>
    </w:p>
    <w:p w:rsidR="00591A14" w:rsidRDefault="007D3698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Tauchsafari Brothers Islands.</w:t>
      </w:r>
    </w:p>
    <w:p w:rsidR="00591A14" w:rsidRDefault="007D3698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  <w:r>
        <w:rPr>
          <w:rFonts w:ascii="Arial" w:eastAsia="Verdana" w:hAnsi="Arial" w:cs="Verdana"/>
          <w:b/>
          <w:bCs/>
          <w:sz w:val="22"/>
          <w:szCs w:val="22"/>
        </w:rPr>
        <w:t>-----------------------------------------------------------------------------------------------------------------------------------</w:t>
      </w:r>
    </w:p>
    <w:p w:rsidR="00591A14" w:rsidRDefault="00591A14">
      <w:pPr>
        <w:autoSpaceDE w:val="0"/>
        <w:rPr>
          <w:rFonts w:ascii="Arial" w:eastAsia="Verdana" w:hAnsi="Arial" w:cs="Verdana"/>
          <w:sz w:val="22"/>
          <w:szCs w:val="22"/>
        </w:rPr>
      </w:pPr>
    </w:p>
    <w:p w:rsidR="00591A14" w:rsidRDefault="007D3698">
      <w:pPr>
        <w:autoSpaceDE w:val="0"/>
        <w:rPr>
          <w:rFonts w:ascii="Dax-BoldCaps" w:eastAsia="Dax-BoldCaps" w:hAnsi="Dax-BoldCaps" w:cs="Dax-BoldCaps"/>
          <w:b/>
          <w:bCs/>
          <w:color w:val="FF4D00"/>
          <w:sz w:val="32"/>
          <w:szCs w:val="32"/>
        </w:rPr>
      </w:pPr>
      <w:r>
        <w:rPr>
          <w:rFonts w:ascii="Dax-BoldCaps" w:eastAsia="Dax-BoldCaps" w:hAnsi="Dax-BoldCaps" w:cs="Dax-BoldCaps"/>
          <w:b/>
          <w:bCs/>
          <w:color w:val="FF4D00"/>
          <w:sz w:val="32"/>
          <w:szCs w:val="32"/>
        </w:rPr>
        <w:t>TXR Vertragspartner</w:t>
      </w:r>
    </w:p>
    <w:p w:rsidR="00591A14" w:rsidRDefault="007D3698">
      <w:pPr>
        <w:autoSpaceDE w:val="0"/>
        <w:rPr>
          <w:rFonts w:ascii="Dax-Regular" w:eastAsia="Dax-Regular" w:hAnsi="Dax-Regular" w:cs="Dax-Regular"/>
          <w:color w:val="001AE6"/>
          <w:sz w:val="18"/>
          <w:szCs w:val="18"/>
        </w:rPr>
      </w:pPr>
      <w:r>
        <w:rPr>
          <w:rFonts w:ascii="Dax-Regular" w:eastAsia="Dax-Regular" w:hAnsi="Dax-Regular" w:cs="Dax-Regular"/>
          <w:color w:val="001AE6"/>
          <w:sz w:val="18"/>
          <w:szCs w:val="18"/>
        </w:rPr>
        <w:t xml:space="preserve">Unsere ausgewählten Tauchbasen </w:t>
      </w:r>
      <w:r>
        <w:rPr>
          <w:rFonts w:ascii="Dax-Regular" w:eastAsia="Dax-Regular" w:hAnsi="Dax-Regular" w:cs="Dax-Regular"/>
          <w:color w:val="001AE6"/>
          <w:sz w:val="18"/>
          <w:szCs w:val="18"/>
        </w:rPr>
        <w:t>sind nach ISO Standards EN 14467 / ISO 24803 für Tauchen nach den Richtlinien der ägyptischen</w:t>
      </w:r>
    </w:p>
    <w:p w:rsidR="00591A14" w:rsidRDefault="007D3698">
      <w:pPr>
        <w:autoSpaceDE w:val="0"/>
        <w:rPr>
          <w:rFonts w:ascii="Dax-Regular" w:eastAsia="Dax-Regular" w:hAnsi="Dax-Regular" w:cs="Dax-Regular"/>
          <w:color w:val="001AE6"/>
          <w:sz w:val="18"/>
          <w:szCs w:val="18"/>
        </w:rPr>
      </w:pPr>
      <w:r>
        <w:rPr>
          <w:rFonts w:ascii="Dax-Regular" w:eastAsia="Dax-Regular" w:hAnsi="Dax-Regular" w:cs="Dax-Regular"/>
          <w:color w:val="001AE6"/>
          <w:sz w:val="18"/>
          <w:szCs w:val="18"/>
        </w:rPr>
        <w:t>“Chamber of Diving and Watersports” (CDWS), des österreichischen Instituts für Normung und der Europäischen Unterwasser</w:t>
      </w:r>
    </w:p>
    <w:p w:rsidR="00591A14" w:rsidRDefault="007D3698">
      <w:pPr>
        <w:autoSpaceDE w:val="0"/>
        <w:rPr>
          <w:rFonts w:ascii="Dax-Regular" w:eastAsia="Dax-Regular" w:hAnsi="Dax-Regular" w:cs="Dax-Regular"/>
          <w:color w:val="001AE6"/>
          <w:sz w:val="18"/>
          <w:szCs w:val="18"/>
        </w:rPr>
      </w:pPr>
      <w:r>
        <w:rPr>
          <w:rFonts w:ascii="Dax-Regular" w:eastAsia="Dax-Regular" w:hAnsi="Dax-Regular" w:cs="Dax-Regular"/>
          <w:color w:val="001AE6"/>
          <w:sz w:val="18"/>
          <w:szCs w:val="18"/>
        </w:rPr>
        <w:t>Föderation zertifiziert. Alle unsere Tauch</w:t>
      </w:r>
      <w:r>
        <w:rPr>
          <w:rFonts w:ascii="Dax-Regular" w:eastAsia="Dax-Regular" w:hAnsi="Dax-Regular" w:cs="Dax-Regular"/>
          <w:color w:val="001AE6"/>
          <w:sz w:val="18"/>
          <w:szCs w:val="18"/>
        </w:rPr>
        <w:t>basen arbeiten mit höchsten Qualitätsstandards und hoher Professionalität.</w:t>
      </w:r>
    </w:p>
    <w:p w:rsidR="00677CFE" w:rsidRDefault="00677CFE">
      <w:pPr>
        <w:autoSpaceDE w:val="0"/>
        <w:rPr>
          <w:rFonts w:ascii="Dax-Bold" w:eastAsia="Dax-Bold" w:hAnsi="Dax-Bold" w:cs="Dax-Bold"/>
          <w:b/>
          <w:bCs/>
          <w:color w:val="FF4D00"/>
          <w:sz w:val="16"/>
          <w:szCs w:val="16"/>
        </w:rPr>
      </w:pPr>
    </w:p>
    <w:p w:rsidR="00591A14" w:rsidRDefault="007D3698">
      <w:pPr>
        <w:autoSpaceDE w:val="0"/>
        <w:rPr>
          <w:rFonts w:ascii="Dax-Bold" w:eastAsia="Dax-Bold" w:hAnsi="Dax-Bold" w:cs="Dax-Bold"/>
          <w:b/>
          <w:bCs/>
          <w:color w:val="FF4D00"/>
          <w:sz w:val="16"/>
          <w:szCs w:val="16"/>
        </w:rPr>
      </w:pPr>
      <w:r>
        <w:rPr>
          <w:rFonts w:ascii="Dax-Bold" w:eastAsia="Dax-Bold" w:hAnsi="Dax-Bold" w:cs="Dax-Bold"/>
          <w:b/>
          <w:bCs/>
          <w:color w:val="FF4D00"/>
          <w:sz w:val="16"/>
          <w:szCs w:val="16"/>
        </w:rPr>
        <w:t>Wichtiger Hinweis</w:t>
      </w:r>
    </w:p>
    <w:p w:rsidR="00591A14" w:rsidRDefault="007D3698">
      <w:pPr>
        <w:autoSpaceDE w:val="0"/>
        <w:rPr>
          <w:rFonts w:ascii="Dax-Regular" w:eastAsia="Dax-Regular" w:hAnsi="Dax-Regular" w:cs="Dax-Regular"/>
          <w:color w:val="FF4D00"/>
          <w:sz w:val="16"/>
          <w:szCs w:val="16"/>
        </w:rPr>
      </w:pPr>
      <w:r>
        <w:rPr>
          <w:rFonts w:ascii="Dax-Regular" w:eastAsia="Dax-Regular" w:hAnsi="Dax-Regular" w:cs="Dax-Regular"/>
          <w:color w:val="FF4D00"/>
          <w:sz w:val="16"/>
          <w:szCs w:val="16"/>
        </w:rPr>
        <w:t>Wir weisen Sie darauf hin, dass eine medizinische Tauchtauglichkeitsbescheinigung möglichst vor Antritt der Reise von Ihnen selbsttätig</w:t>
      </w:r>
    </w:p>
    <w:p w:rsidR="00591A14" w:rsidRDefault="007D3698">
      <w:pPr>
        <w:autoSpaceDE w:val="0"/>
        <w:rPr>
          <w:rFonts w:ascii="Dax-Regular" w:eastAsia="Dax-Regular" w:hAnsi="Dax-Regular" w:cs="Dax-Regular"/>
          <w:color w:val="FF4D00"/>
          <w:sz w:val="16"/>
          <w:szCs w:val="16"/>
        </w:rPr>
      </w:pPr>
      <w:r>
        <w:rPr>
          <w:rFonts w:ascii="Dax-Regular" w:eastAsia="Dax-Regular" w:hAnsi="Dax-Regular" w:cs="Dax-Regular"/>
          <w:color w:val="FF4D00"/>
          <w:sz w:val="16"/>
          <w:szCs w:val="16"/>
        </w:rPr>
        <w:t>bei einem Arzt einzuholen u</w:t>
      </w:r>
      <w:r>
        <w:rPr>
          <w:rFonts w:ascii="Dax-Regular" w:eastAsia="Dax-Regular" w:hAnsi="Dax-Regular" w:cs="Dax-Regular"/>
          <w:color w:val="FF4D00"/>
          <w:sz w:val="16"/>
          <w:szCs w:val="16"/>
        </w:rPr>
        <w:t>nd unaufgefordert der Tauchschule vorzulegen ist. Ebenso ist ein Fragebogen über den Gesundheitszustand vor</w:t>
      </w:r>
    </w:p>
    <w:p w:rsidR="00591A14" w:rsidRDefault="007D3698">
      <w:pPr>
        <w:autoSpaceDE w:val="0"/>
        <w:rPr>
          <w:rFonts w:ascii="Dax-Regular" w:eastAsia="Dax-Regular" w:hAnsi="Dax-Regular" w:cs="Dax-Regular"/>
          <w:color w:val="FF4D00"/>
          <w:sz w:val="16"/>
          <w:szCs w:val="16"/>
        </w:rPr>
      </w:pPr>
      <w:r>
        <w:rPr>
          <w:rFonts w:ascii="Dax-Regular" w:eastAsia="Dax-Regular" w:hAnsi="Dax-Regular" w:cs="Dax-Regular"/>
          <w:color w:val="FF4D00"/>
          <w:sz w:val="16"/>
          <w:szCs w:val="16"/>
        </w:rPr>
        <w:t>Tauchantritt auszufüllen und vorzulegen. Fortgeschrittenen Tauchern empfehlen wir neben dem Tauchausweis einer international anerkannten</w:t>
      </w:r>
    </w:p>
    <w:p w:rsidR="00591A14" w:rsidRDefault="007D3698">
      <w:pPr>
        <w:autoSpaceDE w:val="0"/>
        <w:rPr>
          <w:rFonts w:ascii="Dax-Regular" w:eastAsia="Dax-Regular" w:hAnsi="Dax-Regular" w:cs="Dax-Regular"/>
          <w:color w:val="FF4D00"/>
          <w:sz w:val="16"/>
          <w:szCs w:val="16"/>
        </w:rPr>
      </w:pPr>
      <w:r>
        <w:rPr>
          <w:rFonts w:ascii="Dax-Regular" w:eastAsia="Dax-Regular" w:hAnsi="Dax-Regular" w:cs="Dax-Regular"/>
          <w:color w:val="FF4D00"/>
          <w:sz w:val="16"/>
          <w:szCs w:val="16"/>
        </w:rPr>
        <w:t>Tauchausbil</w:t>
      </w:r>
      <w:r>
        <w:rPr>
          <w:rFonts w:ascii="Dax-Regular" w:eastAsia="Dax-Regular" w:hAnsi="Dax-Regular" w:cs="Dax-Regular"/>
          <w:color w:val="FF4D00"/>
          <w:sz w:val="16"/>
          <w:szCs w:val="16"/>
        </w:rPr>
        <w:t>dungsstelle Logbuch und Brevet der Tauchschule vorzulegen.</w:t>
      </w:r>
    </w:p>
    <w:p w:rsidR="00591A14" w:rsidRDefault="00591A14">
      <w:pPr>
        <w:autoSpaceDE w:val="0"/>
        <w:rPr>
          <w:rFonts w:ascii="Dax-Regular" w:eastAsia="Dax-Regular" w:hAnsi="Dax-Regular" w:cs="Dax-Regular"/>
          <w:color w:val="FF4D00"/>
          <w:sz w:val="16"/>
          <w:szCs w:val="16"/>
        </w:rPr>
      </w:pPr>
    </w:p>
    <w:p w:rsidR="00591A14" w:rsidRDefault="00591A14">
      <w:pPr>
        <w:autoSpaceDE w:val="0"/>
        <w:rPr>
          <w:rFonts w:ascii="Dax-Regular" w:eastAsia="Dax-Regular" w:hAnsi="Dax-Regular" w:cs="Dax-Regular"/>
          <w:color w:val="FF4D00"/>
          <w:sz w:val="16"/>
          <w:szCs w:val="16"/>
        </w:rPr>
      </w:pPr>
    </w:p>
    <w:p w:rsidR="00591A14" w:rsidRDefault="007D3698">
      <w:pPr>
        <w:autoSpaceDE w:val="0"/>
        <w:rPr>
          <w:rFonts w:ascii="Dax-BoldCaps" w:eastAsia="Dax-BoldCaps" w:hAnsi="Dax-BoldCaps" w:cs="Dax-BoldCaps"/>
          <w:b/>
          <w:bCs/>
          <w:color w:val="FF4D00"/>
          <w:sz w:val="30"/>
          <w:szCs w:val="30"/>
        </w:rPr>
      </w:pPr>
      <w:r>
        <w:rPr>
          <w:rFonts w:ascii="Dax-BoldCaps" w:eastAsia="Dax-BoldCaps" w:hAnsi="Dax-BoldCaps" w:cs="Dax-BoldCaps"/>
          <w:b/>
          <w:bCs/>
          <w:color w:val="FF4D00"/>
          <w:sz w:val="30"/>
          <w:szCs w:val="30"/>
        </w:rPr>
        <w:t>Tauchschulen</w:t>
      </w:r>
    </w:p>
    <w:p w:rsidR="00591A14" w:rsidRDefault="007D3698">
      <w:pPr>
        <w:autoSpaceDE w:val="0"/>
        <w:rPr>
          <w:rFonts w:ascii="Dax-Regular" w:eastAsia="Dax-Regular" w:hAnsi="Dax-Regular" w:cs="Dax-Regular"/>
          <w:color w:val="001AE6"/>
          <w:sz w:val="18"/>
          <w:szCs w:val="18"/>
        </w:rPr>
      </w:pPr>
      <w:r>
        <w:rPr>
          <w:rFonts w:ascii="Dax-Regular" w:eastAsia="Dax-Regular" w:hAnsi="Dax-Regular" w:cs="Dax-Regular"/>
          <w:color w:val="001AE6"/>
          <w:sz w:val="18"/>
          <w:szCs w:val="18"/>
        </w:rPr>
        <w:t>Unsere Tauchschulen befinden sich in Hurghada, Sahl Hasheesh und</w:t>
      </w:r>
    </w:p>
    <w:p w:rsidR="00591A14" w:rsidRDefault="007D3698">
      <w:pPr>
        <w:autoSpaceDE w:val="0"/>
        <w:rPr>
          <w:rFonts w:ascii="Dax-Regular" w:eastAsia="Dax-Regular" w:hAnsi="Dax-Regular" w:cs="Dax-Regular"/>
          <w:b/>
          <w:bCs/>
          <w:color w:val="001AE6"/>
          <w:sz w:val="18"/>
          <w:szCs w:val="18"/>
        </w:rPr>
      </w:pPr>
      <w:r>
        <w:rPr>
          <w:rFonts w:ascii="Dax-Regular" w:eastAsia="Dax-Regular" w:hAnsi="Dax-Regular" w:cs="Dax-Regular"/>
          <w:b/>
          <w:bCs/>
          <w:color w:val="001AE6"/>
          <w:sz w:val="18"/>
          <w:szCs w:val="18"/>
        </w:rPr>
        <w:t>Makadi Bay, den Top Tauchgebieten am Roten Meer.</w:t>
      </w:r>
    </w:p>
    <w:p w:rsidR="00591A14" w:rsidRDefault="00591A14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</w:p>
    <w:p w:rsidR="00591A14" w:rsidRDefault="00591A14">
      <w:pPr>
        <w:autoSpaceDE w:val="0"/>
        <w:rPr>
          <w:sz w:val="22"/>
          <w:szCs w:val="22"/>
        </w:rPr>
      </w:pPr>
      <w:bookmarkStart w:id="0" w:name="maintable"/>
      <w:bookmarkEnd w:id="0"/>
    </w:p>
    <w:tbl>
      <w:tblPr>
        <w:tblW w:w="142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50"/>
      </w:tblGrid>
      <w:tr w:rsidR="0059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50" w:type="dxa"/>
            <w:vAlign w:val="center"/>
          </w:tcPr>
          <w:p w:rsidR="00591A14" w:rsidRDefault="00591A14">
            <w:pPr>
              <w:rPr>
                <w:sz w:val="4"/>
                <w:szCs w:val="4"/>
              </w:rPr>
            </w:pPr>
            <w:bookmarkStart w:id="1" w:name="middlecol"/>
            <w:bookmarkStart w:id="2" w:name="middlecol_table"/>
            <w:bookmarkEnd w:id="1"/>
            <w:bookmarkEnd w:id="2"/>
          </w:p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30"/>
            </w:tblGrid>
            <w:tr w:rsidR="00591A1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50" w:type="dxa"/>
                </w:tcPr>
                <w:p w:rsidR="00591A14" w:rsidRDefault="00591A14">
                  <w:pPr>
                    <w:pStyle w:val="berschrift3"/>
                  </w:pPr>
                </w:p>
              </w:tc>
            </w:tr>
          </w:tbl>
          <w:p w:rsidR="00591A14" w:rsidRDefault="00591A14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591A14" w:rsidRDefault="00591A14">
      <w:pPr>
        <w:autoSpaceDE w:val="0"/>
        <w:rPr>
          <w:rFonts w:ascii="Arial" w:eastAsia="Verdana" w:hAnsi="Arial" w:cs="Verdana"/>
          <w:b/>
          <w:bCs/>
          <w:sz w:val="22"/>
          <w:szCs w:val="22"/>
        </w:rPr>
      </w:pPr>
    </w:p>
    <w:sectPr w:rsidR="00591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98" w:rsidRDefault="007D3698">
      <w:r>
        <w:separator/>
      </w:r>
    </w:p>
  </w:endnote>
  <w:endnote w:type="continuationSeparator" w:id="0">
    <w:p w:rsidR="007D3698" w:rsidRDefault="007D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Dax-BoldCaps">
    <w:altName w:val="Arial"/>
    <w:charset w:val="00"/>
    <w:family w:val="swiss"/>
    <w:pitch w:val="default"/>
  </w:font>
  <w:font w:name="Dax-Regular">
    <w:altName w:val="Arial"/>
    <w:charset w:val="00"/>
    <w:family w:val="swiss"/>
    <w:pitch w:val="default"/>
  </w:font>
  <w:font w:name="Dax-Bold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FE" w:rsidRDefault="00677CF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870559"/>
      <w:docPartObj>
        <w:docPartGallery w:val="Page Numbers (Bottom of Page)"/>
        <w:docPartUnique/>
      </w:docPartObj>
    </w:sdtPr>
    <w:sdtContent>
      <w:bookmarkStart w:id="3" w:name="_GoBack" w:displacedByCustomXml="prev"/>
      <w:bookmarkEnd w:id="3" w:displacedByCustomXml="prev"/>
      <w:p w:rsidR="00677CFE" w:rsidRDefault="00677CF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77CFE" w:rsidRDefault="00677CF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FE" w:rsidRDefault="00677C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98" w:rsidRDefault="007D3698">
      <w:r>
        <w:rPr>
          <w:color w:val="000000"/>
        </w:rPr>
        <w:separator/>
      </w:r>
    </w:p>
  </w:footnote>
  <w:footnote w:type="continuationSeparator" w:id="0">
    <w:p w:rsidR="007D3698" w:rsidRDefault="007D3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FE" w:rsidRDefault="00677CF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FE" w:rsidRDefault="00677CF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FE" w:rsidRDefault="00677CF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35C"/>
    <w:multiLevelType w:val="hybridMultilevel"/>
    <w:tmpl w:val="D4905182"/>
    <w:lvl w:ilvl="0" w:tplc="1F58C9EA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1A14"/>
    <w:rsid w:val="00591A14"/>
    <w:rsid w:val="00677CFE"/>
    <w:rsid w:val="007D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rFonts w:ascii="Times New Roman" w:eastAsia="Arial Unicode MS" w:hAnsi="Times New Roman" w:cs="Tahoma"/>
      <w:b/>
      <w:bCs/>
      <w:sz w:val="48"/>
      <w:szCs w:val="48"/>
    </w:rPr>
  </w:style>
  <w:style w:type="paragraph" w:styleId="berschrift3">
    <w:name w:val="heading 3"/>
    <w:basedOn w:val="Heading"/>
    <w:next w:val="Textbody"/>
    <w:pPr>
      <w:outlineLvl w:val="2"/>
    </w:pPr>
    <w:rPr>
      <w:rFonts w:ascii="Times New Roman" w:eastAsia="Arial Unicode MS" w:hAnsi="Times New Roman" w:cs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enabsatz">
    <w:name w:val="List Paragraph"/>
    <w:basedOn w:val="Standard"/>
    <w:uiPriority w:val="34"/>
    <w:qFormat/>
    <w:rsid w:val="00677CFE"/>
    <w:pPr>
      <w:ind w:left="720"/>
      <w:contextualSpacing/>
    </w:pPr>
    <w:rPr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677CFE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CFE"/>
    <w:rPr>
      <w:szCs w:val="21"/>
    </w:rPr>
  </w:style>
  <w:style w:type="paragraph" w:styleId="Fuzeile">
    <w:name w:val="footer"/>
    <w:basedOn w:val="Standard"/>
    <w:link w:val="FuzeileZchn"/>
    <w:uiPriority w:val="99"/>
    <w:unhideWhenUsed/>
    <w:rsid w:val="00677CFE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77CFE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rFonts w:ascii="Times New Roman" w:eastAsia="Arial Unicode MS" w:hAnsi="Times New Roman" w:cs="Tahoma"/>
      <w:b/>
      <w:bCs/>
      <w:sz w:val="48"/>
      <w:szCs w:val="48"/>
    </w:rPr>
  </w:style>
  <w:style w:type="paragraph" w:styleId="berschrift3">
    <w:name w:val="heading 3"/>
    <w:basedOn w:val="Heading"/>
    <w:next w:val="Textbody"/>
    <w:pPr>
      <w:outlineLvl w:val="2"/>
    </w:pPr>
    <w:rPr>
      <w:rFonts w:ascii="Times New Roman" w:eastAsia="Arial Unicode MS" w:hAnsi="Times New Roman" w:cs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enabsatz">
    <w:name w:val="List Paragraph"/>
    <w:basedOn w:val="Standard"/>
    <w:uiPriority w:val="34"/>
    <w:qFormat/>
    <w:rsid w:val="00677CFE"/>
    <w:pPr>
      <w:ind w:left="720"/>
      <w:contextualSpacing/>
    </w:pPr>
    <w:rPr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677CFE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CFE"/>
    <w:rPr>
      <w:szCs w:val="21"/>
    </w:rPr>
  </w:style>
  <w:style w:type="paragraph" w:styleId="Fuzeile">
    <w:name w:val="footer"/>
    <w:basedOn w:val="Standard"/>
    <w:link w:val="FuzeileZchn"/>
    <w:uiPriority w:val="99"/>
    <w:unhideWhenUsed/>
    <w:rsid w:val="00677CFE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77CF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Travelx</dc:creator>
  <cp:lastModifiedBy>Travelx</cp:lastModifiedBy>
  <cp:revision>2</cp:revision>
  <dcterms:created xsi:type="dcterms:W3CDTF">2013-12-19T17:21:00Z</dcterms:created>
  <dcterms:modified xsi:type="dcterms:W3CDTF">2013-12-19T17:21:00Z</dcterms:modified>
</cp:coreProperties>
</file>